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4F" w:rsidRDefault="00823F4F">
      <w:pPr>
        <w:rPr>
          <w:b/>
          <w:u w:val="single"/>
          <w:lang w:val="es-AR"/>
        </w:rPr>
      </w:pPr>
    </w:p>
    <w:p w:rsidR="00823F4F" w:rsidRDefault="00823F4F" w:rsidP="00D328C6">
      <w:pPr>
        <w:jc w:val="both"/>
        <w:rPr>
          <w:b/>
          <w:u w:val="single"/>
          <w:lang w:val="es-AR"/>
        </w:rPr>
      </w:pPr>
    </w:p>
    <w:p w:rsidR="006360E5" w:rsidRDefault="006360E5" w:rsidP="006360E5">
      <w:pPr>
        <w:jc w:val="both"/>
        <w:rPr>
          <w:b/>
          <w:sz w:val="32"/>
          <w:lang w:val="es-AR"/>
        </w:rPr>
      </w:pPr>
      <w:r>
        <w:rPr>
          <w:b/>
          <w:sz w:val="32"/>
          <w:lang w:val="es-AR"/>
        </w:rPr>
        <w:t>Inclusión y desigualdad: un reto prioritario para la región</w:t>
      </w:r>
    </w:p>
    <w:p w:rsidR="006360E5" w:rsidRDefault="006360E5" w:rsidP="006360E5">
      <w:pPr>
        <w:jc w:val="both"/>
        <w:rPr>
          <w:lang w:val="es-AR"/>
        </w:rPr>
      </w:pPr>
      <w:r>
        <w:rPr>
          <w:lang w:val="es-AR"/>
        </w:rPr>
        <w:t xml:space="preserve">En los últimos quince años se verificó una importante reducción de la desigualdad en la distribución del ingreso en América Latina y el Caribe. El coeficiente de </w:t>
      </w:r>
      <w:proofErr w:type="spellStart"/>
      <w:r>
        <w:rPr>
          <w:lang w:val="es-AR"/>
        </w:rPr>
        <w:t>Gini</w:t>
      </w:r>
      <w:proofErr w:type="spellEnd"/>
      <w:r>
        <w:rPr>
          <w:lang w:val="es-AR"/>
        </w:rPr>
        <w:t xml:space="preserve"> se redujo  de 0,565 entre 1996 a 0,507 en 2013.</w:t>
      </w:r>
      <w:r>
        <w:rPr>
          <w:rStyle w:val="FootnoteReference"/>
          <w:lang w:val="es-AR"/>
        </w:rPr>
        <w:t xml:space="preserve"> </w:t>
      </w:r>
      <w:r>
        <w:rPr>
          <w:rStyle w:val="FootnoteReference"/>
          <w:lang w:val="es-AR"/>
        </w:rPr>
        <w:footnoteReference w:id="1"/>
      </w:r>
      <w:r>
        <w:rPr>
          <w:lang w:val="es-AR"/>
        </w:rPr>
        <w:t xml:space="preserve"> También la pobreza en los países de la región bajó de 26,7 % a 11,9%, lo que equivale a sostener que más de 100 millones de latinos salieron de la pobreza.</w:t>
      </w:r>
      <w:r>
        <w:rPr>
          <w:rStyle w:val="FootnoteReference"/>
          <w:lang w:val="es-AR"/>
        </w:rPr>
        <w:t xml:space="preserve"> </w:t>
      </w:r>
      <w:r>
        <w:rPr>
          <w:rStyle w:val="FootnoteReference"/>
          <w:lang w:val="es-AR"/>
        </w:rPr>
        <w:footnoteReference w:id="2"/>
      </w:r>
      <w:r>
        <w:rPr>
          <w:lang w:val="es-AR"/>
        </w:rPr>
        <w:t xml:space="preserve"> </w:t>
      </w:r>
    </w:p>
    <w:p w:rsidR="006360E5" w:rsidRDefault="006360E5" w:rsidP="006360E5">
      <w:pPr>
        <w:pStyle w:val="ListParagraph1"/>
        <w:ind w:left="0"/>
        <w:jc w:val="both"/>
        <w:rPr>
          <w:highlight w:val="yellow"/>
          <w:lang w:val="es-ES_tradnl"/>
        </w:rPr>
      </w:pPr>
      <w:r>
        <w:rPr>
          <w:lang w:val="es-AR"/>
        </w:rPr>
        <w:t>Hubo dos importante factores que contribuyeron a la disminución de la desigualdad. Por un lado, se acortó la brecha entre los ingresos de los trabajadores con mayor y menor educación, lo que también se denomina prima salarial. Según Sánchez Salazar (2014), esto se debe al auge de materias primas de los últimos años que favoreció la demanda de empleo de los sectores con menor educación. E</w:t>
      </w:r>
      <w:proofErr w:type="spellStart"/>
      <w:r>
        <w:t>ntre</w:t>
      </w:r>
      <w:proofErr w:type="spellEnd"/>
      <w:r>
        <w:t xml:space="preserve"> una tercera parte y la mitad de los cambios en la desigualdad de la región se pueden explicar por los aumentos en el ingreso laboral de los más pobres (</w:t>
      </w:r>
      <w:r>
        <w:rPr>
          <w:lang w:val="es-AR"/>
        </w:rPr>
        <w:t xml:space="preserve">Levy y </w:t>
      </w:r>
      <w:proofErr w:type="spellStart"/>
      <w:r>
        <w:rPr>
          <w:lang w:val="es-AR"/>
        </w:rPr>
        <w:t>Schady</w:t>
      </w:r>
      <w:proofErr w:type="spellEnd"/>
      <w:r>
        <w:rPr>
          <w:lang w:val="es-AR"/>
        </w:rPr>
        <w:t>, 2013)</w:t>
      </w:r>
      <w:r>
        <w:t xml:space="preserve">. </w:t>
      </w:r>
      <w:r>
        <w:rPr>
          <w:lang w:val="es-ES_tradnl"/>
        </w:rPr>
        <w:t>Por otro lado, los programas redistributivos explican una parte importante de la disminución de la desigualdad en la región durante los últimos quince a</w:t>
      </w:r>
      <w:r>
        <w:rPr>
          <w:rFonts w:cstheme="minorHAnsi"/>
          <w:lang w:val="es-ES_tradnl"/>
        </w:rPr>
        <w:t>ñ</w:t>
      </w:r>
      <w:r>
        <w:rPr>
          <w:lang w:val="es-ES_tradnl"/>
        </w:rPr>
        <w:t xml:space="preserve">os. Los programas de transferencias monetarias condicionadas, que otorgan un subsidio a cambio del cumplimiento de compromisos de salud o educación (como el plan Bolsa </w:t>
      </w:r>
      <w:proofErr w:type="spellStart"/>
      <w:r>
        <w:rPr>
          <w:lang w:val="es-ES_tradnl"/>
        </w:rPr>
        <w:t>Famillia</w:t>
      </w:r>
      <w:proofErr w:type="spellEnd"/>
      <w:r>
        <w:rPr>
          <w:lang w:val="es-ES_tradnl"/>
        </w:rPr>
        <w:t xml:space="preserve"> de Brasil), contribuyeron a reducir la desigualdad de manera sustancial. También resultaron relevantes en la región los programas de pensiones no contributivas dirigidos a los adultos mayores.  </w:t>
      </w:r>
    </w:p>
    <w:p w:rsidR="006360E5" w:rsidRDefault="006360E5" w:rsidP="006360E5">
      <w:pPr>
        <w:pStyle w:val="ListParagraph1"/>
        <w:ind w:left="0"/>
        <w:jc w:val="both"/>
      </w:pPr>
      <w:r>
        <w:rPr>
          <w:lang w:val="es-ES_tradnl"/>
        </w:rPr>
        <w:t>D</w:t>
      </w:r>
      <w:proofErr w:type="spellStart"/>
      <w:r>
        <w:t>urante</w:t>
      </w:r>
      <w:proofErr w:type="spellEnd"/>
      <w:r>
        <w:t xml:space="preserve"> estos años hubo importantes mejoras en los indicadores sociales, particularmente en educación y salud. Gracias a los programas condicionados y a la construcción de escuelas en zonas rurales se ha logrado aumentar la proporción de niños que asiste a la escuela, reduciéndose la brecha entre los distintos sectores sociales. También se incrementó la cobertura de agua potable y saneamiento, y se expandieron los programas de salud materno- infantil.</w:t>
      </w:r>
    </w:p>
    <w:p w:rsidR="006360E5" w:rsidRDefault="006360E5" w:rsidP="006360E5">
      <w:pPr>
        <w:pStyle w:val="ListParagraph1"/>
        <w:tabs>
          <w:tab w:val="left" w:pos="2127"/>
        </w:tabs>
        <w:ind w:left="0"/>
        <w:jc w:val="both"/>
        <w:rPr>
          <w:lang w:val="es-AR"/>
        </w:rPr>
      </w:pPr>
      <w:r>
        <w:t xml:space="preserve"> Sin embargo, a pesar de estos importantes avances,</w:t>
      </w:r>
      <w:r>
        <w:rPr>
          <w:iCs/>
          <w:lang w:val="es-ES_tradnl"/>
        </w:rPr>
        <w:t xml:space="preserve"> los países de América Latina siguen encontrándose entre los más desiguales del mundo. En comparación con regiones más igualitarias, la diferencia es muy amplia: </w:t>
      </w:r>
      <w:r>
        <w:rPr>
          <w:lang w:val="es-AR"/>
        </w:rPr>
        <w:t xml:space="preserve">el coeficiente de </w:t>
      </w:r>
      <w:proofErr w:type="spellStart"/>
      <w:r>
        <w:rPr>
          <w:lang w:val="es-AR"/>
        </w:rPr>
        <w:t>Gini</w:t>
      </w:r>
      <w:proofErr w:type="spellEnd"/>
      <w:r>
        <w:rPr>
          <w:lang w:val="es-AR"/>
        </w:rPr>
        <w:t xml:space="preserve"> para la Unión Europea era de 0,30 en 2013 y para los países escandinavos de 0,25.</w:t>
      </w:r>
      <w:r>
        <w:rPr>
          <w:rStyle w:val="FootnoteReference"/>
          <w:lang w:val="es-AR"/>
        </w:rPr>
        <w:footnoteReference w:id="3"/>
      </w:r>
    </w:p>
    <w:p w:rsidR="006360E5" w:rsidRDefault="006360E5" w:rsidP="006360E5">
      <w:pPr>
        <w:pStyle w:val="ListParagraph1"/>
        <w:tabs>
          <w:tab w:val="left" w:pos="2127"/>
        </w:tabs>
        <w:ind w:left="0"/>
        <w:jc w:val="both"/>
        <w:rPr>
          <w:iCs/>
          <w:lang w:val="es-AR"/>
        </w:rPr>
      </w:pPr>
      <w:r>
        <w:rPr>
          <w:lang w:val="es-AR"/>
        </w:rPr>
        <w:t xml:space="preserve">En relación a los países desarrollados la región perdió terreno en términos de productividad y mantiene las desigualdades en el desarrollo de la primera infancia, el acceso a la salud y la calidad de la educación. </w:t>
      </w:r>
      <w:r>
        <w:rPr>
          <w:iCs/>
          <w:lang w:val="es-AR"/>
        </w:rPr>
        <w:t xml:space="preserve">Uno de los mayores desafíos para el diseño de las políticas públicas es lograr una reducción sustancial de la desigualdad en sus múltiples  dimensiones y avanzar en la inclusión social de los sectores marginados. </w:t>
      </w:r>
    </w:p>
    <w:p w:rsidR="006360E5" w:rsidRDefault="006360E5" w:rsidP="006360E5">
      <w:pPr>
        <w:rPr>
          <w:lang w:val="es-AR"/>
        </w:rPr>
      </w:pPr>
    </w:p>
    <w:p w:rsidR="006360E5" w:rsidRDefault="006360E5" w:rsidP="006360E5">
      <w:pPr>
        <w:rPr>
          <w:lang w:val="es-AR"/>
        </w:rPr>
      </w:pPr>
    </w:p>
    <w:p w:rsidR="006360E5" w:rsidRDefault="006360E5" w:rsidP="006360E5">
      <w:pPr>
        <w:rPr>
          <w:b/>
          <w:lang w:val="es-AR"/>
        </w:rPr>
      </w:pPr>
      <w:r>
        <w:rPr>
          <w:b/>
          <w:lang w:val="es-AR"/>
        </w:rPr>
        <w:t>Sitios y publicaciones de interés:</w:t>
      </w:r>
    </w:p>
    <w:p w:rsidR="006360E5" w:rsidRDefault="006360E5" w:rsidP="006360E5">
      <w:proofErr w:type="gramStart"/>
      <w:r>
        <w:t xml:space="preserve">Santiago Levy &amp; Norbert </w:t>
      </w:r>
      <w:proofErr w:type="spellStart"/>
      <w:r>
        <w:t>Schady</w:t>
      </w:r>
      <w:proofErr w:type="spellEnd"/>
      <w:r>
        <w:t>, 2013.</w:t>
      </w:r>
      <w:proofErr w:type="gramEnd"/>
      <w:r>
        <w:t xml:space="preserve"> "</w:t>
      </w:r>
      <w:hyperlink r:id="rId8" w:history="1">
        <w:r>
          <w:rPr>
            <w:rStyle w:val="Hyperlink"/>
          </w:rPr>
          <w:t>Latin America's Social Policy Challenge: Education, Social Insurance, Redistribution</w:t>
        </w:r>
      </w:hyperlink>
      <w:r>
        <w:t>", Journal of Economic Perspectives, American Economic Association, vol. 27(2), pages 193-218, Spring.</w:t>
      </w:r>
    </w:p>
    <w:p w:rsidR="006360E5" w:rsidRDefault="006360E5" w:rsidP="006360E5">
      <w:pPr>
        <w:rPr>
          <w:lang w:val="es-AR"/>
        </w:rPr>
      </w:pPr>
      <w:r>
        <w:rPr>
          <w:lang w:val="es-AR"/>
        </w:rPr>
        <w:t xml:space="preserve">Presentación de Héctor Salazar Sánchez, Conferencia regional: </w:t>
      </w:r>
      <w:r>
        <w:rPr>
          <w:rFonts w:cstheme="minorHAnsi"/>
          <w:lang w:val="es-AR"/>
        </w:rPr>
        <w:t>"</w:t>
      </w:r>
      <w:hyperlink r:id="rId9" w:history="1">
        <w:r>
          <w:rPr>
            <w:rStyle w:val="Hyperlink"/>
            <w:lang w:val="es-AR"/>
          </w:rPr>
          <w:t>La Inequidad en América Latina en el Largo Plazo</w:t>
        </w:r>
      </w:hyperlink>
      <w:r>
        <w:rPr>
          <w:rFonts w:cstheme="minorHAnsi"/>
          <w:lang w:val="es-AR"/>
        </w:rPr>
        <w:t>"</w:t>
      </w:r>
      <w:r>
        <w:rPr>
          <w:lang w:val="es-AR"/>
        </w:rPr>
        <w:t xml:space="preserve">, 3 al 5 de diciembre de 2014, INTAL. </w:t>
      </w:r>
    </w:p>
    <w:p w:rsidR="006360E5" w:rsidRDefault="006360E5" w:rsidP="006360E5">
      <w:pPr>
        <w:rPr>
          <w:lang w:val="es-AR"/>
        </w:rPr>
      </w:pPr>
      <w:r>
        <w:rPr>
          <w:lang w:val="es-AR"/>
        </w:rPr>
        <w:t xml:space="preserve">Presentación de Leonardo </w:t>
      </w:r>
      <w:proofErr w:type="spellStart"/>
      <w:r>
        <w:rPr>
          <w:lang w:val="es-AR"/>
        </w:rPr>
        <w:t>Gasparini</w:t>
      </w:r>
      <w:proofErr w:type="spellEnd"/>
      <w:r>
        <w:rPr>
          <w:lang w:val="es-AR"/>
        </w:rPr>
        <w:t xml:space="preserve"> y Facundo </w:t>
      </w:r>
      <w:proofErr w:type="spellStart"/>
      <w:r>
        <w:rPr>
          <w:lang w:val="es-AR"/>
        </w:rPr>
        <w:t>Alvaredo</w:t>
      </w:r>
      <w:proofErr w:type="spellEnd"/>
      <w:r>
        <w:rPr>
          <w:lang w:val="es-AR"/>
        </w:rPr>
        <w:t xml:space="preserve">, Conferencia Regional: </w:t>
      </w:r>
      <w:r>
        <w:rPr>
          <w:rFonts w:cstheme="minorHAnsi"/>
          <w:lang w:val="es-AR"/>
        </w:rPr>
        <w:t>"</w:t>
      </w:r>
      <w:hyperlink r:id="rId10" w:history="1">
        <w:r>
          <w:rPr>
            <w:rStyle w:val="Hyperlink"/>
            <w:lang w:val="es-AR"/>
          </w:rPr>
          <w:t>La Inequidad en América Latina en el Largo Plazo</w:t>
        </w:r>
      </w:hyperlink>
      <w:r>
        <w:rPr>
          <w:rFonts w:cstheme="minorHAnsi"/>
          <w:lang w:val="es-AR"/>
        </w:rPr>
        <w:t>"</w:t>
      </w:r>
      <w:r>
        <w:rPr>
          <w:lang w:val="es-AR"/>
        </w:rPr>
        <w:t>, 3 al 5 de diciembre de 2014, INTAL.</w:t>
      </w:r>
    </w:p>
    <w:p w:rsidR="006360E5" w:rsidRDefault="006360E5" w:rsidP="006360E5">
      <w:pPr>
        <w:rPr>
          <w:lang w:val="es-AR"/>
        </w:rPr>
      </w:pPr>
      <w:hyperlink r:id="rId11" w:history="1">
        <w:proofErr w:type="spellStart"/>
        <w:r>
          <w:rPr>
            <w:rStyle w:val="Hyperlink"/>
            <w:lang w:val="es-AR"/>
          </w:rPr>
          <w:t>Sociometro</w:t>
        </w:r>
        <w:proofErr w:type="spellEnd"/>
      </w:hyperlink>
      <w:r>
        <w:rPr>
          <w:lang w:val="es-AR"/>
        </w:rPr>
        <w:t xml:space="preserve">, Banco Interamericano de Desarrollo. </w:t>
      </w:r>
    </w:p>
    <w:p w:rsidR="006360E5" w:rsidRDefault="006360E5" w:rsidP="006360E5">
      <w:pPr>
        <w:rPr>
          <w:lang w:val="es-AR"/>
        </w:rPr>
      </w:pPr>
      <w:hyperlink r:id="rId12" w:history="1">
        <w:proofErr w:type="spellStart"/>
        <w:r>
          <w:rPr>
            <w:rStyle w:val="Hyperlink"/>
            <w:lang w:val="es-AR"/>
          </w:rPr>
          <w:t>Eurostat</w:t>
        </w:r>
        <w:proofErr w:type="spellEnd"/>
      </w:hyperlink>
      <w:r>
        <w:rPr>
          <w:lang w:val="es-AR"/>
        </w:rPr>
        <w:t xml:space="preserve">, Comisión Europea. </w:t>
      </w:r>
    </w:p>
    <w:p w:rsidR="006360E5" w:rsidRDefault="006360E5" w:rsidP="006360E5">
      <w:pPr>
        <w:rPr>
          <w:lang w:val="es-AR"/>
        </w:rPr>
      </w:pPr>
    </w:p>
    <w:p w:rsidR="006360E5" w:rsidRDefault="006360E5" w:rsidP="006360E5">
      <w:pPr>
        <w:rPr>
          <w:b/>
          <w:lang w:val="es-AR"/>
        </w:rPr>
      </w:pPr>
      <w:r>
        <w:rPr>
          <w:b/>
          <w:lang w:val="es-AR"/>
        </w:rPr>
        <w:t>Fuentes de la visualización:</w:t>
      </w:r>
    </w:p>
    <w:p w:rsidR="006360E5" w:rsidRDefault="006360E5" w:rsidP="006360E5">
      <w:pPr>
        <w:rPr>
          <w:lang w:val="es-AR"/>
        </w:rPr>
      </w:pPr>
      <w:hyperlink r:id="rId13" w:history="1">
        <w:proofErr w:type="spellStart"/>
        <w:r>
          <w:rPr>
            <w:rStyle w:val="Hyperlink"/>
            <w:lang w:val="es-AR"/>
          </w:rPr>
          <w:t>Sociometro</w:t>
        </w:r>
        <w:proofErr w:type="spellEnd"/>
      </w:hyperlink>
      <w:r>
        <w:rPr>
          <w:lang w:val="es-AR"/>
        </w:rPr>
        <w:t xml:space="preserve">, Banco Interamericano de Desarrollo. </w:t>
      </w:r>
    </w:p>
    <w:p w:rsidR="00B3527D" w:rsidRPr="004C3D23" w:rsidRDefault="00B3527D" w:rsidP="006360E5">
      <w:pPr>
        <w:jc w:val="both"/>
        <w:rPr>
          <w:lang w:val="es-AR"/>
        </w:rPr>
      </w:pPr>
      <w:bookmarkStart w:id="0" w:name="_GoBack"/>
      <w:bookmarkEnd w:id="0"/>
    </w:p>
    <w:sectPr w:rsidR="00B3527D" w:rsidRPr="004C3D23" w:rsidSect="00385903">
      <w:pgSz w:w="12240" w:h="15840"/>
      <w:pgMar w:top="56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968" w:rsidRDefault="004E0968" w:rsidP="008F3C07">
      <w:pPr>
        <w:spacing w:after="0" w:line="240" w:lineRule="auto"/>
      </w:pPr>
      <w:r>
        <w:separator/>
      </w:r>
    </w:p>
  </w:endnote>
  <w:endnote w:type="continuationSeparator" w:id="0">
    <w:p w:rsidR="004E0968" w:rsidRDefault="004E0968" w:rsidP="008F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968" w:rsidRDefault="004E0968" w:rsidP="008F3C07">
      <w:pPr>
        <w:spacing w:after="0" w:line="240" w:lineRule="auto"/>
      </w:pPr>
      <w:r>
        <w:separator/>
      </w:r>
    </w:p>
  </w:footnote>
  <w:footnote w:type="continuationSeparator" w:id="0">
    <w:p w:rsidR="004E0968" w:rsidRDefault="004E0968" w:rsidP="008F3C07">
      <w:pPr>
        <w:spacing w:after="0" w:line="240" w:lineRule="auto"/>
      </w:pPr>
      <w:r>
        <w:continuationSeparator/>
      </w:r>
    </w:p>
  </w:footnote>
  <w:footnote w:id="1">
    <w:p w:rsidR="006360E5" w:rsidRDefault="006360E5" w:rsidP="006360E5">
      <w:pPr>
        <w:spacing w:after="0"/>
        <w:rPr>
          <w:lang w:val="es-AR"/>
        </w:rPr>
      </w:pPr>
      <w:r>
        <w:rPr>
          <w:rStyle w:val="FootnoteReference"/>
        </w:rPr>
        <w:footnoteRef/>
      </w:r>
      <w:r>
        <w:rPr>
          <w:lang w:val="es-AR"/>
        </w:rPr>
        <w:t xml:space="preserve"> El Coeficiente de </w:t>
      </w:r>
      <w:proofErr w:type="spellStart"/>
      <w:r>
        <w:rPr>
          <w:lang w:val="es-AR"/>
        </w:rPr>
        <w:t>Gini</w:t>
      </w:r>
      <w:proofErr w:type="spellEnd"/>
      <w:r>
        <w:rPr>
          <w:lang w:val="es-AR"/>
        </w:rPr>
        <w:t xml:space="preserve"> es el indicador más utilizado para medir la distribución del ingreso con valores que van del 0 (igualdad total) al 1 (desigualdad absoluta). Cuanto más cercano a cero se encuentre el valor, más igualitaria es la distribución del ingreso. </w:t>
      </w:r>
    </w:p>
  </w:footnote>
  <w:footnote w:id="2">
    <w:p w:rsidR="006360E5" w:rsidRDefault="006360E5" w:rsidP="006360E5">
      <w:pPr>
        <w:pStyle w:val="FootnoteText"/>
        <w:rPr>
          <w:sz w:val="22"/>
          <w:szCs w:val="22"/>
          <w:lang w:val="es-AR"/>
        </w:rPr>
      </w:pPr>
      <w:r>
        <w:rPr>
          <w:rStyle w:val="FootnoteReference"/>
          <w:sz w:val="22"/>
          <w:szCs w:val="22"/>
        </w:rPr>
        <w:footnoteRef/>
      </w:r>
      <w:r>
        <w:rPr>
          <w:sz w:val="22"/>
          <w:szCs w:val="22"/>
          <w:lang w:val="es-AR"/>
        </w:rPr>
        <w:t xml:space="preserve"> </w:t>
      </w:r>
      <w:proofErr w:type="spellStart"/>
      <w:r>
        <w:rPr>
          <w:sz w:val="22"/>
          <w:szCs w:val="22"/>
          <w:lang w:val="es-AR"/>
        </w:rPr>
        <w:t>Premedio</w:t>
      </w:r>
      <w:proofErr w:type="spellEnd"/>
      <w:r>
        <w:rPr>
          <w:sz w:val="22"/>
          <w:szCs w:val="22"/>
          <w:lang w:val="es-AR"/>
        </w:rPr>
        <w:t xml:space="preserve"> ponderado por población basado en la línea de pobreza de US$ 2.5 per cápita por día. </w:t>
      </w:r>
    </w:p>
  </w:footnote>
  <w:footnote w:id="3">
    <w:p w:rsidR="006360E5" w:rsidRDefault="006360E5" w:rsidP="006360E5">
      <w:pPr>
        <w:pStyle w:val="FootnoteText"/>
        <w:rPr>
          <w:lang w:val="es-AR"/>
        </w:rPr>
      </w:pPr>
      <w:r>
        <w:rPr>
          <w:rStyle w:val="FootnoteReference"/>
          <w:sz w:val="22"/>
          <w:szCs w:val="22"/>
        </w:rPr>
        <w:footnoteRef/>
      </w:r>
      <w:r>
        <w:rPr>
          <w:sz w:val="22"/>
          <w:szCs w:val="22"/>
        </w:rPr>
        <w:t xml:space="preserve"> </w:t>
      </w:r>
      <w:proofErr w:type="spellStart"/>
      <w:r>
        <w:rPr>
          <w:sz w:val="22"/>
          <w:szCs w:val="22"/>
          <w:lang w:val="es-AR"/>
        </w:rPr>
        <w:t>Eurostat</w:t>
      </w:r>
      <w:proofErr w:type="spellEnd"/>
      <w:r>
        <w:rPr>
          <w:sz w:val="22"/>
          <w:szCs w:val="22"/>
          <w:lang w:val="es-A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C3D23"/>
    <w:rsid w:val="00030913"/>
    <w:rsid w:val="000926FF"/>
    <w:rsid w:val="00117F3F"/>
    <w:rsid w:val="00154354"/>
    <w:rsid w:val="00160B6D"/>
    <w:rsid w:val="001876CA"/>
    <w:rsid w:val="00372C50"/>
    <w:rsid w:val="00385903"/>
    <w:rsid w:val="003D2F1C"/>
    <w:rsid w:val="0040049F"/>
    <w:rsid w:val="00431B69"/>
    <w:rsid w:val="00490378"/>
    <w:rsid w:val="004C3D23"/>
    <w:rsid w:val="004E0968"/>
    <w:rsid w:val="00513AFF"/>
    <w:rsid w:val="00583C79"/>
    <w:rsid w:val="00594275"/>
    <w:rsid w:val="006355E3"/>
    <w:rsid w:val="006360E5"/>
    <w:rsid w:val="006D667D"/>
    <w:rsid w:val="00720775"/>
    <w:rsid w:val="00737857"/>
    <w:rsid w:val="007C481B"/>
    <w:rsid w:val="00823F4F"/>
    <w:rsid w:val="00864BCE"/>
    <w:rsid w:val="008A3131"/>
    <w:rsid w:val="008F3C07"/>
    <w:rsid w:val="008F5683"/>
    <w:rsid w:val="00906642"/>
    <w:rsid w:val="00932358"/>
    <w:rsid w:val="00987DDC"/>
    <w:rsid w:val="009E161F"/>
    <w:rsid w:val="00A85CA1"/>
    <w:rsid w:val="00AC11B6"/>
    <w:rsid w:val="00B3527D"/>
    <w:rsid w:val="00B81D91"/>
    <w:rsid w:val="00C06D62"/>
    <w:rsid w:val="00C565AA"/>
    <w:rsid w:val="00CB75B8"/>
    <w:rsid w:val="00CE1DD4"/>
    <w:rsid w:val="00D328C6"/>
    <w:rsid w:val="00D54964"/>
    <w:rsid w:val="00D6501E"/>
    <w:rsid w:val="00DD7CD6"/>
    <w:rsid w:val="00E356A1"/>
    <w:rsid w:val="00E76F10"/>
    <w:rsid w:val="00ED23AC"/>
    <w:rsid w:val="00EF6A8A"/>
    <w:rsid w:val="00F406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0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7C481B"/>
    <w:pPr>
      <w:ind w:left="720"/>
    </w:pPr>
    <w:rPr>
      <w:rFonts w:ascii="Calibri" w:eastAsia="Times New Roman" w:hAnsi="Calibri" w:cs="Calibri"/>
      <w:lang w:val="es-ES"/>
    </w:rPr>
  </w:style>
  <w:style w:type="character" w:styleId="Hyperlink">
    <w:name w:val="Hyperlink"/>
    <w:basedOn w:val="DefaultParagraphFont"/>
    <w:uiPriority w:val="99"/>
    <w:unhideWhenUsed/>
    <w:rsid w:val="008F3C07"/>
    <w:rPr>
      <w:color w:val="0000FF" w:themeColor="hyperlink"/>
      <w:u w:val="single"/>
    </w:rPr>
  </w:style>
  <w:style w:type="paragraph" w:styleId="FootnoteText">
    <w:name w:val="footnote text"/>
    <w:basedOn w:val="Normal"/>
    <w:link w:val="FootnoteTextChar"/>
    <w:uiPriority w:val="99"/>
    <w:semiHidden/>
    <w:unhideWhenUsed/>
    <w:rsid w:val="008F3C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C07"/>
    <w:rPr>
      <w:sz w:val="20"/>
      <w:szCs w:val="20"/>
      <w:lang w:val="en-US"/>
    </w:rPr>
  </w:style>
  <w:style w:type="character" w:styleId="FootnoteReference">
    <w:name w:val="footnote reference"/>
    <w:basedOn w:val="DefaultParagraphFont"/>
    <w:uiPriority w:val="99"/>
    <w:semiHidden/>
    <w:unhideWhenUsed/>
    <w:rsid w:val="008F3C07"/>
    <w:rPr>
      <w:vertAlign w:val="superscript"/>
    </w:rPr>
  </w:style>
  <w:style w:type="character" w:styleId="CommentReference">
    <w:name w:val="annotation reference"/>
    <w:basedOn w:val="DefaultParagraphFont"/>
    <w:uiPriority w:val="99"/>
    <w:semiHidden/>
    <w:unhideWhenUsed/>
    <w:rsid w:val="00C565AA"/>
    <w:rPr>
      <w:sz w:val="16"/>
      <w:szCs w:val="16"/>
    </w:rPr>
  </w:style>
  <w:style w:type="paragraph" w:styleId="CommentText">
    <w:name w:val="annotation text"/>
    <w:basedOn w:val="Normal"/>
    <w:link w:val="CommentTextChar"/>
    <w:uiPriority w:val="99"/>
    <w:semiHidden/>
    <w:unhideWhenUsed/>
    <w:rsid w:val="00C565AA"/>
    <w:pPr>
      <w:spacing w:line="240" w:lineRule="auto"/>
    </w:pPr>
    <w:rPr>
      <w:sz w:val="20"/>
      <w:szCs w:val="20"/>
    </w:rPr>
  </w:style>
  <w:style w:type="character" w:customStyle="1" w:styleId="CommentTextChar">
    <w:name w:val="Comment Text Char"/>
    <w:basedOn w:val="DefaultParagraphFont"/>
    <w:link w:val="CommentText"/>
    <w:uiPriority w:val="99"/>
    <w:semiHidden/>
    <w:rsid w:val="00C565AA"/>
    <w:rPr>
      <w:sz w:val="20"/>
      <w:szCs w:val="20"/>
      <w:lang w:val="en-US"/>
    </w:rPr>
  </w:style>
  <w:style w:type="paragraph" w:styleId="CommentSubject">
    <w:name w:val="annotation subject"/>
    <w:basedOn w:val="CommentText"/>
    <w:next w:val="CommentText"/>
    <w:link w:val="CommentSubjectChar"/>
    <w:uiPriority w:val="99"/>
    <w:semiHidden/>
    <w:unhideWhenUsed/>
    <w:rsid w:val="00C565AA"/>
    <w:rPr>
      <w:b/>
      <w:bCs/>
    </w:rPr>
  </w:style>
  <w:style w:type="character" w:customStyle="1" w:styleId="CommentSubjectChar">
    <w:name w:val="Comment Subject Char"/>
    <w:basedOn w:val="CommentTextChar"/>
    <w:link w:val="CommentSubject"/>
    <w:uiPriority w:val="99"/>
    <w:semiHidden/>
    <w:rsid w:val="00C565AA"/>
    <w:rPr>
      <w:b/>
      <w:bCs/>
      <w:sz w:val="20"/>
      <w:szCs w:val="20"/>
      <w:lang w:val="en-US"/>
    </w:rPr>
  </w:style>
  <w:style w:type="paragraph" w:styleId="BalloonText">
    <w:name w:val="Balloon Text"/>
    <w:basedOn w:val="Normal"/>
    <w:link w:val="BalloonTextChar"/>
    <w:uiPriority w:val="99"/>
    <w:semiHidden/>
    <w:unhideWhenUsed/>
    <w:rsid w:val="00C56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5A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7307">
      <w:bodyDiv w:val="1"/>
      <w:marLeft w:val="0"/>
      <w:marRight w:val="0"/>
      <w:marTop w:val="0"/>
      <w:marBottom w:val="0"/>
      <w:divBdr>
        <w:top w:val="none" w:sz="0" w:space="0" w:color="auto"/>
        <w:left w:val="none" w:sz="0" w:space="0" w:color="auto"/>
        <w:bottom w:val="none" w:sz="0" w:space="0" w:color="auto"/>
        <w:right w:val="none" w:sz="0" w:space="0" w:color="auto"/>
      </w:divBdr>
    </w:div>
    <w:div w:id="1419979090">
      <w:bodyDiv w:val="1"/>
      <w:marLeft w:val="0"/>
      <w:marRight w:val="0"/>
      <w:marTop w:val="0"/>
      <w:marBottom w:val="0"/>
      <w:divBdr>
        <w:top w:val="none" w:sz="0" w:space="0" w:color="auto"/>
        <w:left w:val="none" w:sz="0" w:space="0" w:color="auto"/>
        <w:bottom w:val="none" w:sz="0" w:space="0" w:color="auto"/>
        <w:right w:val="none" w:sz="0" w:space="0" w:color="auto"/>
      </w:divBdr>
    </w:div>
    <w:div w:id="1531526892">
      <w:bodyDiv w:val="1"/>
      <w:marLeft w:val="0"/>
      <w:marRight w:val="0"/>
      <w:marTop w:val="0"/>
      <w:marBottom w:val="0"/>
      <w:divBdr>
        <w:top w:val="none" w:sz="0" w:space="0" w:color="auto"/>
        <w:left w:val="none" w:sz="0" w:space="0" w:color="auto"/>
        <w:bottom w:val="none" w:sz="0" w:space="0" w:color="auto"/>
        <w:right w:val="none" w:sz="0" w:space="0" w:color="auto"/>
      </w:divBdr>
    </w:div>
    <w:div w:id="189500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a/aea/jecper/v27y2013i2p193-218.html" TargetMode="External"/><Relationship Id="rId13" Type="http://schemas.openxmlformats.org/officeDocument/2006/relationships/hyperlink" Target="http://www.iadb.org/en/research-and-data/sociometro-bid,698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europa.eu/eurostat/tgm/table.do?tab=table&amp;language=en&amp;pcode=tessi1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db.org/en/research-and-data/sociometro-bid,698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vents.iadb.org/calendar/eventDetail.aspx?lang=es&amp;id=4722" TargetMode="External"/><Relationship Id="rId4" Type="http://schemas.openxmlformats.org/officeDocument/2006/relationships/settings" Target="settings.xml"/><Relationship Id="rId9" Type="http://schemas.openxmlformats.org/officeDocument/2006/relationships/hyperlink" Target="http://events.iadb.org/calendar/eventDetail.aspx?lang=es&amp;id=472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2AFAA-0636-439D-93C5-4A989EA2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610</Words>
  <Characters>3360</Characters>
  <Application>Microsoft Office Word</Application>
  <DocSecurity>0</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dc:creator>
  <cp:lastModifiedBy>IADB</cp:lastModifiedBy>
  <cp:revision>9</cp:revision>
  <dcterms:created xsi:type="dcterms:W3CDTF">2015-04-16T12:51:00Z</dcterms:created>
  <dcterms:modified xsi:type="dcterms:W3CDTF">2015-04-16T18:31:00Z</dcterms:modified>
</cp:coreProperties>
</file>